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64491"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napToGrid w:val="0"/>
        <w:spacing w:line="360" w:lineRule="auto"/>
        <w:ind w:left="-283" w:leftChars="-118" w:right="-482" w:rightChars="-201" w:firstLine="0"/>
        <w:jc w:val="center"/>
        <w:rPr>
          <w:rFonts w:ascii="黑体" w:hAnsi="黑体" w:eastAsia="黑体"/>
          <w:bCs/>
          <w:sz w:val="44"/>
          <w:szCs w:val="44"/>
        </w:rPr>
      </w:pPr>
      <w:bookmarkStart w:id="0" w:name="_GoBack"/>
      <w:bookmarkEnd w:id="0"/>
      <w:r>
        <w:rPr>
          <w:rFonts w:hint="eastAsia"/>
          <w:sz w:val="48"/>
          <w:szCs w:val="48"/>
        </w:rPr>
        <w:t>浙江师范大学学生“‘党建领航之江精彩蝶变20年’红色寻访实践活动”调研报</w:t>
      </w:r>
      <w:r>
        <w:rPr>
          <w:rFonts w:hint="eastAsia"/>
          <w:sz w:val="48"/>
          <w:szCs w:val="48"/>
          <w:lang w:eastAsia="zh-CN"/>
        </w:rPr>
        <w:t>告</w:t>
      </w:r>
      <w:r>
        <w:rPr>
          <w:rFonts w:hint="eastAsia"/>
          <w:sz w:val="48"/>
          <w:szCs w:val="48"/>
        </w:rPr>
        <w:t>学院评比结果公示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276"/>
        <w:gridCol w:w="2835"/>
        <w:gridCol w:w="2977"/>
        <w:gridCol w:w="1355"/>
      </w:tblGrid>
      <w:tr w14:paraId="36819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562" w:type="dxa"/>
            <w:vAlign w:val="center"/>
          </w:tcPr>
          <w:p w14:paraId="0B4D5470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 w14:paraId="105A10B7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负责人姓名</w:t>
            </w:r>
          </w:p>
        </w:tc>
        <w:tc>
          <w:tcPr>
            <w:tcW w:w="2835" w:type="dxa"/>
            <w:vAlign w:val="center"/>
          </w:tcPr>
          <w:p w14:paraId="4024ABAB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主要成员</w:t>
            </w:r>
          </w:p>
        </w:tc>
        <w:tc>
          <w:tcPr>
            <w:tcW w:w="2977" w:type="dxa"/>
            <w:vAlign w:val="center"/>
          </w:tcPr>
          <w:p w14:paraId="43683641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调研报告题目</w:t>
            </w:r>
          </w:p>
        </w:tc>
        <w:tc>
          <w:tcPr>
            <w:tcW w:w="1355" w:type="dxa"/>
            <w:vAlign w:val="center"/>
          </w:tcPr>
          <w:p w14:paraId="33E63D5F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等级</w:t>
            </w:r>
          </w:p>
        </w:tc>
      </w:tr>
      <w:tr w14:paraId="60A07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6D1B5E26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5D1FAB5A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邵涵怡</w:t>
            </w:r>
          </w:p>
        </w:tc>
        <w:tc>
          <w:tcPr>
            <w:tcW w:w="2835" w:type="dxa"/>
            <w:vAlign w:val="center"/>
          </w:tcPr>
          <w:p w14:paraId="2E39F687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overflowPunct w:val="0"/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牛玉豪、冯嘉惠、李骆晨、傅一、邱烯雨</w:t>
            </w:r>
          </w:p>
        </w:tc>
        <w:tc>
          <w:tcPr>
            <w:tcW w:w="2977" w:type="dxa"/>
          </w:tcPr>
          <w:p w14:paraId="1A18899A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引党建东风，启“义”路电商新程</w:t>
            </w:r>
          </w:p>
        </w:tc>
        <w:tc>
          <w:tcPr>
            <w:tcW w:w="1355" w:type="dxa"/>
            <w:vAlign w:val="center"/>
          </w:tcPr>
          <w:p w14:paraId="516D1CD0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一等</w:t>
            </w:r>
          </w:p>
        </w:tc>
      </w:tr>
      <w:tr w14:paraId="5C715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13B29DBD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37131686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林芯朵</w:t>
            </w:r>
          </w:p>
        </w:tc>
        <w:tc>
          <w:tcPr>
            <w:tcW w:w="2835" w:type="dxa"/>
          </w:tcPr>
          <w:p w14:paraId="6317254D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彭家瑞、吴旭柯、单意棱、洪睿晔、张嘉珊、邓童馨、徐基颂、王皓乐、陈慧烨</w:t>
            </w:r>
          </w:p>
        </w:tc>
        <w:tc>
          <w:tcPr>
            <w:tcW w:w="2977" w:type="dxa"/>
          </w:tcPr>
          <w:p w14:paraId="651B0DD0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数智根基，“义”启未来</w:t>
            </w:r>
          </w:p>
        </w:tc>
        <w:tc>
          <w:tcPr>
            <w:tcW w:w="1355" w:type="dxa"/>
            <w:vAlign w:val="center"/>
          </w:tcPr>
          <w:p w14:paraId="5BF00930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一等</w:t>
            </w:r>
          </w:p>
        </w:tc>
      </w:tr>
      <w:tr w14:paraId="7722D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4A289390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2730A897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刘晶铭</w:t>
            </w:r>
          </w:p>
        </w:tc>
        <w:tc>
          <w:tcPr>
            <w:tcW w:w="2835" w:type="dxa"/>
          </w:tcPr>
          <w:p w14:paraId="71B3570A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石景灏、汪涵、吴凌静、</w:t>
            </w:r>
          </w:p>
          <w:p w14:paraId="53EC6735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张歆琪、叶城丽、吴双、</w:t>
            </w:r>
          </w:p>
          <w:p w14:paraId="2BB28AA2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夏心悦</w:t>
            </w:r>
          </w:p>
        </w:tc>
        <w:tc>
          <w:tcPr>
            <w:tcW w:w="2977" w:type="dxa"/>
          </w:tcPr>
          <w:p w14:paraId="553684D0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绍兴黄酒产业绿色转型与文化创新发展调研——基于绍兴市越城区的实地观察</w:t>
            </w:r>
          </w:p>
        </w:tc>
        <w:tc>
          <w:tcPr>
            <w:tcW w:w="1355" w:type="dxa"/>
            <w:vAlign w:val="center"/>
          </w:tcPr>
          <w:p w14:paraId="46368DA5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二等</w:t>
            </w:r>
          </w:p>
        </w:tc>
      </w:tr>
      <w:tr w14:paraId="67CB0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665E09F9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76007206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程海鑫</w:t>
            </w:r>
          </w:p>
        </w:tc>
        <w:tc>
          <w:tcPr>
            <w:tcW w:w="2835" w:type="dxa"/>
          </w:tcPr>
          <w:p w14:paraId="61F04275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金秋月、耿晗、金秀、</w:t>
            </w:r>
          </w:p>
          <w:p w14:paraId="53A54BCF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舒慕萱、许琼文、梅子盈、俞</w:t>
            </w:r>
            <w:r>
              <w:rPr>
                <w:rFonts w:hint="eastAsia" w:ascii="宋体" w:hAnsi="宋体" w:cs="微软雅黑"/>
                <w:bCs/>
                <w:szCs w:val="24"/>
              </w:rPr>
              <w:t>菓</w:t>
            </w:r>
          </w:p>
        </w:tc>
        <w:tc>
          <w:tcPr>
            <w:tcW w:w="2977" w:type="dxa"/>
          </w:tcPr>
          <w:p w14:paraId="0363BE1C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富阳矿山焕新绿，探索现代版“富春山居图”</w:t>
            </w:r>
          </w:p>
        </w:tc>
        <w:tc>
          <w:tcPr>
            <w:tcW w:w="1355" w:type="dxa"/>
            <w:vAlign w:val="center"/>
          </w:tcPr>
          <w:p w14:paraId="4515F520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二等</w:t>
            </w:r>
          </w:p>
        </w:tc>
      </w:tr>
      <w:tr w14:paraId="1BCBD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1DDAD5FC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77E2F8BA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庄萱莺</w:t>
            </w:r>
          </w:p>
        </w:tc>
        <w:tc>
          <w:tcPr>
            <w:tcW w:w="2835" w:type="dxa"/>
          </w:tcPr>
          <w:p w14:paraId="56F9DA7D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苏艺畅、陈渝倩、吴斯旗、郑思思、高颖莹、王应之、陈俊余</w:t>
            </w:r>
          </w:p>
        </w:tc>
        <w:tc>
          <w:tcPr>
            <w:tcW w:w="2977" w:type="dxa"/>
          </w:tcPr>
          <w:p w14:paraId="411EB103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在水一方 淳而易安——探究“天人合一”理念下“美丽浙江”建设路经</w:t>
            </w:r>
          </w:p>
        </w:tc>
        <w:tc>
          <w:tcPr>
            <w:tcW w:w="1355" w:type="dxa"/>
            <w:vAlign w:val="center"/>
          </w:tcPr>
          <w:p w14:paraId="3A80198C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三等</w:t>
            </w:r>
          </w:p>
        </w:tc>
      </w:tr>
      <w:tr w14:paraId="46040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6E91A9B9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14:paraId="77E40FF8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邱吴慧宇</w:t>
            </w:r>
          </w:p>
        </w:tc>
        <w:tc>
          <w:tcPr>
            <w:tcW w:w="2835" w:type="dxa"/>
          </w:tcPr>
          <w:p w14:paraId="01DA07CB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刘玉娇、刘彦彤、蔡健豪、陈亚庭、洪颂赞、娜仁高娃、周小茜</w:t>
            </w:r>
          </w:p>
        </w:tc>
        <w:tc>
          <w:tcPr>
            <w:tcW w:w="2977" w:type="dxa"/>
          </w:tcPr>
          <w:p w14:paraId="67AF7484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丽水“一带三区”城乡布局新蓝图——生态引领，智绘布局，共谱经济发展绿色新篇章</w:t>
            </w:r>
          </w:p>
        </w:tc>
        <w:tc>
          <w:tcPr>
            <w:tcW w:w="1355" w:type="dxa"/>
            <w:vAlign w:val="center"/>
          </w:tcPr>
          <w:p w14:paraId="5D44DE5C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三等</w:t>
            </w:r>
          </w:p>
        </w:tc>
      </w:tr>
      <w:tr w14:paraId="1A522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77CE0A2E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 w14:paraId="2AEF7F02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姜礼楠</w:t>
            </w:r>
          </w:p>
        </w:tc>
        <w:tc>
          <w:tcPr>
            <w:tcW w:w="2835" w:type="dxa"/>
          </w:tcPr>
          <w:p w14:paraId="0EE647D6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姜礼楠、林文韬、齐梦莲、陈奕希、应甘甜、李笑竹</w:t>
            </w:r>
          </w:p>
        </w:tc>
        <w:tc>
          <w:tcPr>
            <w:tcW w:w="2977" w:type="dxa"/>
          </w:tcPr>
          <w:p w14:paraId="6C7FE695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携手海外，共创富坊“八八战略”视角下的农村对外出口共富工坊的探索与实践</w:t>
            </w:r>
          </w:p>
        </w:tc>
        <w:tc>
          <w:tcPr>
            <w:tcW w:w="1355" w:type="dxa"/>
            <w:vAlign w:val="center"/>
          </w:tcPr>
          <w:p w14:paraId="19AF7056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三等</w:t>
            </w:r>
          </w:p>
        </w:tc>
      </w:tr>
      <w:tr w14:paraId="4F4B9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400DA788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14:paraId="50501151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陈晴雨</w:t>
            </w:r>
          </w:p>
        </w:tc>
        <w:tc>
          <w:tcPr>
            <w:tcW w:w="2835" w:type="dxa"/>
          </w:tcPr>
          <w:p w14:paraId="7CB5598C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潘昱航、叶晨希、翁艺瑾、魏梦瑶、张颖怡、叶诚浩、李紫彤</w:t>
            </w:r>
          </w:p>
        </w:tc>
        <w:tc>
          <w:tcPr>
            <w:tcW w:w="2977" w:type="dxa"/>
          </w:tcPr>
          <w:p w14:paraId="7A288279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苍南四维共融谱新篇，乡村振兴绘美丽蓝图</w:t>
            </w:r>
          </w:p>
        </w:tc>
        <w:tc>
          <w:tcPr>
            <w:tcW w:w="1355" w:type="dxa"/>
            <w:vAlign w:val="center"/>
          </w:tcPr>
          <w:p w14:paraId="0BE6B1E9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三等</w:t>
            </w:r>
          </w:p>
        </w:tc>
      </w:tr>
      <w:tr w14:paraId="23103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10FB6780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14:paraId="7586E34D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徐美晗</w:t>
            </w:r>
          </w:p>
        </w:tc>
        <w:tc>
          <w:tcPr>
            <w:tcW w:w="2835" w:type="dxa"/>
          </w:tcPr>
          <w:p w14:paraId="2D277733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缪白嘉、叶琳茜、丁悦迪</w:t>
            </w:r>
          </w:p>
        </w:tc>
        <w:tc>
          <w:tcPr>
            <w:tcW w:w="2977" w:type="dxa"/>
          </w:tcPr>
          <w:p w14:paraId="7CFAC5C8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廿年蝶变佛手乡，党建赋能振兴路——八八战略下以浙江省金华市北山口村佛手产业的实施调研为例</w:t>
            </w:r>
          </w:p>
        </w:tc>
        <w:tc>
          <w:tcPr>
            <w:tcW w:w="1355" w:type="dxa"/>
            <w:vAlign w:val="center"/>
          </w:tcPr>
          <w:p w14:paraId="7C1F52E1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三等</w:t>
            </w:r>
          </w:p>
        </w:tc>
      </w:tr>
      <w:tr w14:paraId="18167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4832C954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10</w:t>
            </w:r>
          </w:p>
        </w:tc>
        <w:tc>
          <w:tcPr>
            <w:tcW w:w="1276" w:type="dxa"/>
            <w:vAlign w:val="center"/>
          </w:tcPr>
          <w:p w14:paraId="5122F835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方晗</w:t>
            </w:r>
          </w:p>
        </w:tc>
        <w:tc>
          <w:tcPr>
            <w:tcW w:w="2835" w:type="dxa"/>
          </w:tcPr>
          <w:p w14:paraId="226CAC35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杨玉婷、成美萱、丘昕</w:t>
            </w:r>
            <w:r>
              <w:rPr>
                <w:rFonts w:hint="eastAsia" w:ascii="宋体" w:hAnsi="宋体" w:cs="微软雅黑"/>
                <w:bCs/>
                <w:szCs w:val="24"/>
              </w:rPr>
              <w:t>玥</w:t>
            </w:r>
            <w:r>
              <w:rPr>
                <w:rFonts w:hint="eastAsia" w:ascii="宋体" w:hAnsi="宋体"/>
                <w:bCs/>
                <w:szCs w:val="24"/>
              </w:rPr>
              <w:t>、应浠烯、刘佳欣、虞宇佳、杨雨乐</w:t>
            </w:r>
          </w:p>
        </w:tc>
        <w:tc>
          <w:tcPr>
            <w:tcW w:w="2977" w:type="dxa"/>
          </w:tcPr>
          <w:p w14:paraId="68B3E585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水韵嘉兴织锦绣，人居画卷展新图——探秀洲乡村蝶变之路</w:t>
            </w:r>
          </w:p>
        </w:tc>
        <w:tc>
          <w:tcPr>
            <w:tcW w:w="1355" w:type="dxa"/>
            <w:vAlign w:val="center"/>
          </w:tcPr>
          <w:p w14:paraId="574E4A87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三等</w:t>
            </w:r>
          </w:p>
        </w:tc>
      </w:tr>
      <w:tr w14:paraId="52CC5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10F428B0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eastAsia="仿宋_GB2312"/>
                <w:bCs/>
                <w:szCs w:val="24"/>
              </w:rPr>
            </w:pPr>
            <w:r>
              <w:rPr>
                <w:rFonts w:eastAsia="仿宋_GB2312"/>
                <w:bCs/>
                <w:szCs w:val="24"/>
              </w:rPr>
              <w:t>11</w:t>
            </w:r>
          </w:p>
        </w:tc>
        <w:tc>
          <w:tcPr>
            <w:tcW w:w="1276" w:type="dxa"/>
            <w:vAlign w:val="center"/>
          </w:tcPr>
          <w:p w14:paraId="1E2F9DFB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张宇森</w:t>
            </w:r>
          </w:p>
        </w:tc>
        <w:tc>
          <w:tcPr>
            <w:tcW w:w="2835" w:type="dxa"/>
          </w:tcPr>
          <w:p w14:paraId="07ECBC07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邹吴焕、周洁、周洁、</w:t>
            </w:r>
          </w:p>
          <w:p w14:paraId="22D6FAE6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夏新、周杨、周静真、</w:t>
            </w:r>
          </w:p>
          <w:p w14:paraId="4A578AFC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叶雨晴、吕海一</w:t>
            </w:r>
          </w:p>
        </w:tc>
        <w:tc>
          <w:tcPr>
            <w:tcW w:w="2977" w:type="dxa"/>
          </w:tcPr>
          <w:p w14:paraId="13649D41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水泽长兴，智化江南——观水利数字化改革下水治理的长兴经验</w:t>
            </w:r>
          </w:p>
        </w:tc>
        <w:tc>
          <w:tcPr>
            <w:tcW w:w="1355" w:type="dxa"/>
            <w:vAlign w:val="center"/>
          </w:tcPr>
          <w:p w14:paraId="1C7459FE">
            <w:pPr>
              <w:tabs>
                <w:tab w:val="left" w:pos="567"/>
                <w:tab w:val="left" w:pos="1985"/>
                <w:tab w:val="left" w:pos="3402"/>
                <w:tab w:val="left" w:pos="4820"/>
                <w:tab w:val="left" w:pos="6379"/>
                <w:tab w:val="left" w:pos="7797"/>
              </w:tabs>
              <w:ind w:firstLine="0"/>
              <w:jc w:val="center"/>
              <w:rPr>
                <w:rFonts w:hint="eastAsia" w:ascii="宋体" w:hAnsi="宋体"/>
                <w:bCs/>
                <w:szCs w:val="24"/>
              </w:rPr>
            </w:pPr>
            <w:r>
              <w:rPr>
                <w:rFonts w:hint="eastAsia" w:ascii="宋体" w:hAnsi="宋体"/>
                <w:bCs/>
                <w:szCs w:val="24"/>
              </w:rPr>
              <w:t>三等</w:t>
            </w:r>
          </w:p>
        </w:tc>
      </w:tr>
    </w:tbl>
    <w:p w14:paraId="558C7191"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pacing w:before="240" w:line="360" w:lineRule="auto"/>
        <w:ind w:right="-226" w:rightChars="-94" w:firstLine="0"/>
        <w:jc w:val="center"/>
        <w:rPr>
          <w:rFonts w:hint="eastAsia" w:eastAsia="仿宋"/>
          <w:bCs/>
          <w:sz w:val="32"/>
          <w:szCs w:val="44"/>
        </w:rPr>
      </w:pPr>
    </w:p>
    <w:sectPr>
      <w:pgSz w:w="11906" w:h="16838"/>
      <w:pgMar w:top="1928" w:right="1417" w:bottom="1984" w:left="1474" w:header="850" w:footer="1417" w:gutter="0"/>
      <w:cols w:space="425" w:num="1"/>
      <w:docGrid w:type="lines" w:linePitch="461" w:charSpace="347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B8FDB8-CB3B-4E98-B60A-F35E90B8B2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2F6FDC7-A927-4CD4-BBEA-F89A8196486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D52AFF57-66B3-4781-940C-97308191FB4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4BEC567-D29A-46F0-ACF5-1B25C1CFDC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TrueTypeFonts/>
  <w:saveSubsetFonts/>
  <w:bordersDoNotSurroundHeader w:val="1"/>
  <w:bordersDoNotSurroundFooter w:val="1"/>
  <w:documentProtection w:enforcement="0"/>
  <w:defaultTabStop w:val="420"/>
  <w:drawingGridHorizontalSpacing w:val="205"/>
  <w:drawingGridVerticalSpacing w:val="46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708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82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widowControl/>
      <w:tabs>
        <w:tab w:val="left" w:pos="377"/>
      </w:tabs>
      <w:spacing w:after="220" w:line="360" w:lineRule="auto"/>
      <w:ind w:firstLine="0"/>
      <w:jc w:val="center"/>
      <w:outlineLvl w:val="0"/>
    </w:pPr>
    <w:rPr>
      <w:rFonts w:ascii="黑体" w:eastAsia="黑体"/>
      <w:bCs/>
      <w:kern w:val="44"/>
      <w:sz w:val="32"/>
      <w:szCs w:val="30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widowControl/>
      <w:tabs>
        <w:tab w:val="left" w:pos="377"/>
      </w:tabs>
      <w:spacing w:after="120" w:line="360" w:lineRule="auto"/>
      <w:jc w:val="left"/>
      <w:outlineLvl w:val="1"/>
    </w:pPr>
    <w:rPr>
      <w:rFonts w:ascii="黑体" w:hAnsi="Arial" w:eastAsia="黑体"/>
      <w:bCs/>
      <w:kern w:val="0"/>
      <w:sz w:val="30"/>
      <w:szCs w:val="30"/>
    </w:rPr>
  </w:style>
  <w:style w:type="paragraph" w:styleId="4">
    <w:name w:val="heading 3"/>
    <w:basedOn w:val="1"/>
    <w:next w:val="1"/>
    <w:link w:val="15"/>
    <w:qFormat/>
    <w:uiPriority w:val="0"/>
    <w:pPr>
      <w:keepNext/>
      <w:keepLines/>
      <w:widowControl/>
      <w:tabs>
        <w:tab w:val="left" w:pos="377"/>
      </w:tabs>
      <w:spacing w:after="120" w:line="360" w:lineRule="auto"/>
      <w:ind w:firstLine="560" w:firstLineChars="200"/>
      <w:jc w:val="left"/>
      <w:outlineLvl w:val="2"/>
    </w:pPr>
    <w:rPr>
      <w:rFonts w:ascii="黑体" w:hAnsi="黑体" w:eastAsia="黑体"/>
      <w:sz w:val="28"/>
      <w:szCs w:val="28"/>
    </w:rPr>
  </w:style>
  <w:style w:type="paragraph" w:styleId="5">
    <w:name w:val="heading 4"/>
    <w:basedOn w:val="1"/>
    <w:next w:val="1"/>
    <w:link w:val="16"/>
    <w:qFormat/>
    <w:uiPriority w:val="0"/>
    <w:pPr>
      <w:keepNext/>
      <w:keepLines/>
      <w:widowControl/>
      <w:tabs>
        <w:tab w:val="left" w:pos="377"/>
      </w:tabs>
      <w:spacing w:before="280" w:after="290" w:line="377" w:lineRule="auto"/>
      <w:jc w:val="left"/>
      <w:outlineLvl w:val="3"/>
    </w:pPr>
    <w:rPr>
      <w:rFonts w:ascii="Cambria" w:hAnsi="Cambria" w:eastAsia="黑体"/>
      <w:bCs/>
      <w:szCs w:val="28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7"/>
    <w:qFormat/>
    <w:uiPriority w:val="0"/>
    <w:pPr>
      <w:spacing w:before="240" w:after="60"/>
      <w:ind w:firstLine="0"/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table" w:styleId="10">
    <w:name w:val="Table Grid"/>
    <w:basedOn w:val="9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三线表"/>
    <w:basedOn w:val="9"/>
    <w:qFormat/>
    <w:uiPriority w:val="99"/>
    <w:tblPr>
      <w:tblBorders>
        <w:top w:val="single" w:color="auto" w:sz="12" w:space="0"/>
        <w:bottom w:val="single" w:color="auto" w:sz="12" w:space="0"/>
      </w:tblBorders>
    </w:tblPr>
    <w:tblStylePr w:type="firstRow">
      <w:tblPr/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3">
    <w:name w:val="标题 1 字符"/>
    <w:link w:val="2"/>
    <w:qFormat/>
    <w:uiPriority w:val="0"/>
    <w:rPr>
      <w:rFonts w:ascii="黑体" w:eastAsia="黑体"/>
      <w:bCs/>
      <w:kern w:val="44"/>
      <w:sz w:val="32"/>
      <w:szCs w:val="30"/>
    </w:rPr>
  </w:style>
  <w:style w:type="character" w:customStyle="1" w:styleId="14">
    <w:name w:val="标题 2 字符"/>
    <w:basedOn w:val="11"/>
    <w:link w:val="3"/>
    <w:qFormat/>
    <w:uiPriority w:val="0"/>
    <w:rPr>
      <w:rFonts w:ascii="黑体" w:hAnsi="Arial" w:eastAsia="黑体"/>
      <w:bCs/>
      <w:kern w:val="0"/>
      <w:sz w:val="30"/>
      <w:szCs w:val="30"/>
    </w:rPr>
  </w:style>
  <w:style w:type="character" w:customStyle="1" w:styleId="15">
    <w:name w:val="标题 3 字符"/>
    <w:link w:val="4"/>
    <w:qFormat/>
    <w:uiPriority w:val="0"/>
    <w:rPr>
      <w:rFonts w:ascii="黑体" w:hAnsi="黑体" w:eastAsia="黑体"/>
      <w:sz w:val="28"/>
      <w:szCs w:val="28"/>
    </w:rPr>
  </w:style>
  <w:style w:type="character" w:customStyle="1" w:styleId="16">
    <w:name w:val="标题 4 字符"/>
    <w:basedOn w:val="11"/>
    <w:link w:val="5"/>
    <w:qFormat/>
    <w:uiPriority w:val="0"/>
    <w:rPr>
      <w:rFonts w:ascii="Cambria" w:hAnsi="Cambria" w:eastAsia="黑体"/>
      <w:bCs/>
      <w:sz w:val="24"/>
      <w:szCs w:val="28"/>
    </w:rPr>
  </w:style>
  <w:style w:type="character" w:customStyle="1" w:styleId="17">
    <w:name w:val="标题 字符"/>
    <w:basedOn w:val="11"/>
    <w:link w:val="8"/>
    <w:qFormat/>
    <w:uiPriority w:val="0"/>
    <w:rPr>
      <w:rFonts w:asciiTheme="majorHAnsi" w:hAnsiTheme="majorHAnsi" w:cstheme="majorBidi"/>
      <w:b/>
      <w:bCs/>
      <w:sz w:val="44"/>
      <w:szCs w:val="32"/>
    </w:rPr>
  </w:style>
  <w:style w:type="character" w:customStyle="1" w:styleId="18">
    <w:name w:val="页眉 字符"/>
    <w:basedOn w:val="11"/>
    <w:link w:val="7"/>
    <w:uiPriority w:val="99"/>
    <w:rPr>
      <w:kern w:val="2"/>
      <w:sz w:val="18"/>
      <w:szCs w:val="18"/>
    </w:rPr>
  </w:style>
  <w:style w:type="character" w:customStyle="1" w:styleId="19">
    <w:name w:val="页脚 字符"/>
    <w:basedOn w:val="11"/>
    <w:link w:val="6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702</Words>
  <Characters>705</Characters>
  <Lines>5</Lines>
  <Paragraphs>1</Paragraphs>
  <TotalTime>0</TotalTime>
  <ScaleCrop>false</ScaleCrop>
  <LinksUpToDate>false</LinksUpToDate>
  <CharactersWithSpaces>706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2022-10-27T07:08:00Z</dcterms:created>
  <dc:creator>朱豪杰</dc:creator>
  <cp:lastModifiedBy>qzuser</cp:lastModifiedBy>
  <dcterms:modified xsi:type="dcterms:W3CDTF">2025-04-01T03:18:24Z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610B740D94974598BD9057389ED0E368_13</vt:lpwstr>
  </property>
</Properties>
</file>